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90B" w:rsidRPr="00DF7A36" w:rsidRDefault="00B7390B" w:rsidP="00B7390B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4888" w:type="pct"/>
        <w:tblInd w:w="-5" w:type="dxa"/>
        <w:tblLook w:val="01E0" w:firstRow="1" w:lastRow="1" w:firstColumn="1" w:lastColumn="1" w:noHBand="0" w:noVBand="0"/>
      </w:tblPr>
      <w:tblGrid>
        <w:gridCol w:w="4010"/>
        <w:gridCol w:w="1266"/>
        <w:gridCol w:w="3869"/>
      </w:tblGrid>
      <w:tr w:rsidR="00AE674C" w:rsidRPr="00DF7A36" w:rsidTr="00606FBD">
        <w:trPr>
          <w:trHeight w:val="1052"/>
        </w:trPr>
        <w:tc>
          <w:tcPr>
            <w:tcW w:w="2197" w:type="pct"/>
          </w:tcPr>
          <w:p w:rsidR="00AE674C" w:rsidRPr="00DF7A36" w:rsidRDefault="00AE674C" w:rsidP="0084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БАНКА РЕПУБЛИКАНЭ </w:t>
            </w:r>
          </w:p>
          <w:p w:rsidR="00AE674C" w:rsidRPr="00DF7A36" w:rsidRDefault="00AE674C" w:rsidP="0084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НИСТРЯНЭ </w:t>
            </w:r>
          </w:p>
          <w:p w:rsidR="00AE674C" w:rsidRPr="00DF7A36" w:rsidRDefault="00AE674C" w:rsidP="0084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" w:type="pct"/>
          </w:tcPr>
          <w:p w:rsidR="00AE674C" w:rsidRPr="00DF7A36" w:rsidRDefault="00AE674C" w:rsidP="00845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12DDEA37" wp14:editId="666EEDFC">
                  <wp:extent cx="661670" cy="700405"/>
                  <wp:effectExtent l="0" t="0" r="5080" b="4445"/>
                  <wp:docPr id="2" name="Рисунок 2" descr="герб 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670" cy="7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pct"/>
          </w:tcPr>
          <w:p w:rsidR="00AE674C" w:rsidRPr="00DF7A36" w:rsidRDefault="00AE674C" w:rsidP="0084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ПРИДН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СТРОВСЬКИЙ</w:t>
            </w:r>
          </w:p>
          <w:p w:rsidR="00AE674C" w:rsidRPr="00DF7A36" w:rsidRDefault="00AE674C" w:rsidP="0084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КАНСЬКИЙ БАНК</w:t>
            </w:r>
          </w:p>
        </w:tc>
      </w:tr>
    </w:tbl>
    <w:p w:rsidR="00B7390B" w:rsidRPr="00DF7A36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341D6C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ПРИДНЕСТРОВСКИЙ РЕСПУБЛИКАНСКИЙ </w:t>
      </w:r>
    </w:p>
    <w:p w:rsidR="00B7390B" w:rsidRPr="00341D6C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</w:t>
      </w:r>
    </w:p>
    <w:p w:rsidR="00B7390B" w:rsidRPr="00606FBD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B7390B" w:rsidRPr="00341D6C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</w:t>
      </w:r>
    </w:p>
    <w:p w:rsidR="00B7390B" w:rsidRPr="00606FBD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B7390B" w:rsidRPr="00341D6C" w:rsidRDefault="00B01CB3" w:rsidP="00341D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внесении </w:t>
      </w:r>
      <w:r w:rsidR="0039534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дополнения</w:t>
      </w: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Инструкцию Приднестровского республиканского банка </w:t>
      </w:r>
      <w:r w:rsidR="00F673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19 июня 2007 года № 20-И «О порядке составления и представления кредитными организациями Приднестровской Молдавской Республики отчетности о средневзвешенных процентных ставках по операциям размещения и привлечения средств»</w:t>
      </w:r>
      <w:r w:rsid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(регистрационный № 4007 от 20 июля 2007 года) (САЗ 07-30)</w:t>
      </w:r>
    </w:p>
    <w:p w:rsidR="00B7390B" w:rsidRPr="00606FBD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B7390B" w:rsidRPr="00341D6C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1D6C">
        <w:rPr>
          <w:rFonts w:ascii="Times New Roman" w:eastAsia="Times New Roman" w:hAnsi="Times New Roman" w:cs="Times New Roman"/>
          <w:sz w:val="24"/>
          <w:szCs w:val="24"/>
        </w:rPr>
        <w:t>Утверждено решением правления</w:t>
      </w:r>
    </w:p>
    <w:p w:rsidR="00B7390B" w:rsidRPr="00341D6C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1D6C">
        <w:rPr>
          <w:rFonts w:ascii="Times New Roman" w:eastAsia="Times New Roman" w:hAnsi="Times New Roman" w:cs="Times New Roman"/>
          <w:sz w:val="24"/>
          <w:szCs w:val="24"/>
        </w:rPr>
        <w:t>Приднестровского республиканского банка</w:t>
      </w:r>
    </w:p>
    <w:p w:rsidR="00B7390B" w:rsidRPr="00341D6C" w:rsidRDefault="00052E9C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Протокол № 48 от 18 ноября</w:t>
      </w:r>
      <w:r w:rsidR="00B7390B" w:rsidRPr="00341D6C">
        <w:rPr>
          <w:rFonts w:ascii="Times New Roman" w:eastAsia="Times New Roman" w:hAnsi="Times New Roman" w:cs="Times New Roman"/>
          <w:sz w:val="24"/>
          <w:szCs w:val="24"/>
        </w:rPr>
        <w:t xml:space="preserve"> 2025 года</w:t>
      </w:r>
    </w:p>
    <w:p w:rsidR="00B7390B" w:rsidRPr="00606FBD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B7390B" w:rsidRPr="00341D6C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Зарегистрировано Министерством юстиции</w:t>
      </w:r>
    </w:p>
    <w:p w:rsidR="00B7390B" w:rsidRPr="00341D6C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Приднестровской </w:t>
      </w:r>
      <w:r w:rsidR="00DA4286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Молдавской Республики</w:t>
      </w:r>
      <w:r w:rsidR="00F94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 ноября 2025 года</w:t>
      </w:r>
      <w:bookmarkStart w:id="0" w:name="_GoBack"/>
      <w:bookmarkEnd w:id="0"/>
    </w:p>
    <w:p w:rsidR="00B7390B" w:rsidRPr="00341D6C" w:rsidRDefault="00DA4286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 №</w:t>
      </w:r>
      <w:r w:rsidR="00341D6C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52E9C">
        <w:rPr>
          <w:rFonts w:ascii="Times New Roman" w:eastAsia="Times New Roman" w:hAnsi="Times New Roman" w:cs="Times New Roman"/>
          <w:sz w:val="24"/>
          <w:szCs w:val="24"/>
          <w:lang w:eastAsia="ru-RU"/>
        </w:rPr>
        <w:t>13586</w:t>
      </w:r>
    </w:p>
    <w:p w:rsidR="00B7390B" w:rsidRPr="00606FBD" w:rsidRDefault="00B7390B" w:rsidP="00B7390B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B7390B" w:rsidRPr="00341D6C" w:rsidRDefault="00B7390B" w:rsidP="00B7390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Указание разработано в соответствии с Законом Приднестровской Молдавской Республики от 7 мая 2007 года № 212-З-IV «О центральном банке Приднестровской Молдавской Республики» (САЗ 07-20), Законом Приднестровской Молдавской Республики от 1 декабря 1993 года «О банках и банковской деятельности в Приднестровской Молдавской Республике» (СЗМР 93-2).</w:t>
      </w:r>
    </w:p>
    <w:p w:rsidR="00B7390B" w:rsidRPr="00341D6C" w:rsidRDefault="00B01CB3" w:rsidP="00B7390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. Внести в Инструкцию Приднестровского республиканского банка от 19 июня 2007 года № 20-И «О порядке составления и представления кредитными организациями Приднестровской Молдавской Республики отчетности о средневзвешенных процентных ставках по операциям размещения и привлечения средств» (регистрационный № 4007 от 20 июля 2007 года) (САЗ 07-30) с изменениями и дополнениями, внесенными указаниями Приднестровского республиканского банка от 20 декабря 2007 года № 268-У (регистрационный № 4267 от 24 января 2008 года) (САЗ 08-3)</w:t>
      </w:r>
      <w:r w:rsidR="0039534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 марта 2011 года № 442-У (регистрационный № 5600 от 19 апреля 2011 года) (САЗ 11-16)</w:t>
      </w:r>
      <w:r w:rsidR="0039534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14 марта 2012 года № 520-У (регистрационный № 5962 от 4 апреля 2012 года) (САЗ 12-15)</w:t>
      </w:r>
      <w:r w:rsidR="0039534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19 декабря 2012 года № 644-У (регистрационный № 6281 от 18 января 2013 года) (САЗ 13-2)</w:t>
      </w:r>
      <w:r w:rsidR="0039534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 апреля 2013 года № 685-У (регистрационный № 6442 от 22 мая 2013 года) (САЗ 13-20)</w:t>
      </w:r>
      <w:r w:rsidR="0039534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5 декабря 2013 года № 737-У (регистрационный № 6652 от 20 декабря 2013 года) (САЗ 13-50)</w:t>
      </w:r>
      <w:r w:rsidR="0039534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B7390B" w:rsidRPr="00341D6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 23 ноября 2015 года № 879-У</w:t>
        </w:r>
      </w:hyperlink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(регистрационный № 7313 от 17 декабря 2015 года) (</w:t>
      </w:r>
      <w:hyperlink r:id="rId6" w:anchor="дветысячипятнадцать51" w:history="1">
        <w:r w:rsidR="00B7390B" w:rsidRPr="00341D6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САЗ 15-51</w:t>
        </w:r>
      </w:hyperlink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9534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11 ноября 2016 года № 938-У (регистрационный № 7665 от 25 ноября 2016 года) (</w:t>
      </w:r>
      <w:hyperlink r:id="rId7" w:anchor="дветысячипятнадцать51" w:history="1">
        <w:r w:rsidR="00B7390B" w:rsidRPr="00341D6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САЗ </w:t>
        </w:r>
      </w:hyperlink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16-47)</w:t>
      </w:r>
      <w:r w:rsidR="0039534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 ноября 2018 года № 1119-У (регистрационный № 8555 от 3 декабря 2018 года) (</w:t>
      </w:r>
      <w:hyperlink r:id="rId8" w:anchor="дветысячипятнадцать51" w:history="1">
        <w:r w:rsidR="00B7390B" w:rsidRPr="00341D6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САЗ </w:t>
        </w:r>
      </w:hyperlink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18-49)</w:t>
      </w:r>
      <w:r w:rsidR="0039534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</w:t>
      </w:r>
      <w:r w:rsidR="0039534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 2020 года № 1289-У (регистрационный № 9781 от 2 ноября 2020 года)</w:t>
      </w:r>
      <w:r w:rsidR="00B7390B" w:rsidRPr="00341D6C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</w:t>
      </w:r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9" w:anchor="дветысячипятнадцать51" w:history="1">
        <w:r w:rsidR="00B7390B" w:rsidRPr="00341D6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САЗ </w:t>
        </w:r>
      </w:hyperlink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20-45), следующее </w:t>
      </w:r>
      <w:r w:rsidR="0039534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дополнение</w:t>
      </w:r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B7390B" w:rsidRPr="00341D6C" w:rsidRDefault="00B7390B" w:rsidP="00B7390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часть </w:t>
      </w:r>
      <w:r w:rsidR="0039534B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пятую</w:t>
      </w: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7 Инструкции </w:t>
      </w:r>
      <w:r w:rsidR="001756EE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цифрового </w:t>
      </w:r>
      <w:r w:rsidR="00C36464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обозначения «2277» дополнить цифровым обозначением «2303» с предшествующей запятой.</w:t>
      </w:r>
    </w:p>
    <w:p w:rsidR="00B7390B" w:rsidRPr="00341D6C" w:rsidRDefault="00B01CB3" w:rsidP="00B7390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7390B"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Настоящее Указание вступает в силу с 1 декабря 2025 года.</w:t>
      </w:r>
    </w:p>
    <w:p w:rsidR="00B7390B" w:rsidRPr="00606FBD" w:rsidRDefault="00B7390B" w:rsidP="00B7390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B7390B" w:rsidRPr="00341D6C" w:rsidRDefault="00B7390B" w:rsidP="00B739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D6C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                          </w:t>
      </w:r>
      <w:r w:rsidR="00341D6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Pr="00341D6C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DA4286" w:rsidRPr="00341D6C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341D6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В. ТИДВА</w:t>
      </w:r>
    </w:p>
    <w:p w:rsidR="00B7390B" w:rsidRPr="00606FBD" w:rsidRDefault="00B7390B" w:rsidP="00B7390B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606FBD" w:rsidRDefault="00B7390B" w:rsidP="00B73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1D6C">
        <w:rPr>
          <w:rFonts w:ascii="Times New Roman" w:eastAsia="Times New Roman" w:hAnsi="Times New Roman" w:cs="Times New Roman"/>
          <w:sz w:val="24"/>
          <w:szCs w:val="24"/>
        </w:rPr>
        <w:t xml:space="preserve">    г. Тирасполь</w:t>
      </w:r>
    </w:p>
    <w:p w:rsidR="00B7390B" w:rsidRPr="00341D6C" w:rsidRDefault="00052E9C" w:rsidP="00B73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 ноября</w:t>
      </w:r>
      <w:r w:rsidR="00B7390B" w:rsidRPr="00341D6C">
        <w:rPr>
          <w:rFonts w:ascii="Times New Roman" w:eastAsia="Times New Roman" w:hAnsi="Times New Roman" w:cs="Times New Roman"/>
          <w:sz w:val="24"/>
          <w:szCs w:val="24"/>
        </w:rPr>
        <w:t xml:space="preserve"> 2025 г.</w:t>
      </w:r>
    </w:p>
    <w:p w:rsidR="00B7390B" w:rsidRPr="00341D6C" w:rsidRDefault="00B7390B" w:rsidP="00B73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1D6C">
        <w:rPr>
          <w:rFonts w:ascii="Times New Roman" w:eastAsia="Times New Roman" w:hAnsi="Times New Roman" w:cs="Times New Roman"/>
          <w:sz w:val="24"/>
          <w:szCs w:val="24"/>
        </w:rPr>
        <w:t xml:space="preserve">     № </w:t>
      </w:r>
      <w:r w:rsidR="00052E9C">
        <w:rPr>
          <w:rFonts w:ascii="Times New Roman" w:eastAsia="Times New Roman" w:hAnsi="Times New Roman" w:cs="Times New Roman"/>
          <w:sz w:val="24"/>
          <w:szCs w:val="24"/>
        </w:rPr>
        <w:t>1645-У</w:t>
      </w:r>
    </w:p>
    <w:sectPr w:rsidR="00B7390B" w:rsidRPr="00341D6C" w:rsidSect="00606FBD">
      <w:pgSz w:w="11907" w:h="16840"/>
      <w:pgMar w:top="993" w:right="851" w:bottom="993" w:left="1701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90B"/>
    <w:rsid w:val="00052E9C"/>
    <w:rsid w:val="0006191E"/>
    <w:rsid w:val="001756EE"/>
    <w:rsid w:val="00187DDB"/>
    <w:rsid w:val="00341D6C"/>
    <w:rsid w:val="0039534B"/>
    <w:rsid w:val="003C0251"/>
    <w:rsid w:val="00524C17"/>
    <w:rsid w:val="005D44CF"/>
    <w:rsid w:val="00606FBD"/>
    <w:rsid w:val="006D2E79"/>
    <w:rsid w:val="00724517"/>
    <w:rsid w:val="007D3E2C"/>
    <w:rsid w:val="00815EC9"/>
    <w:rsid w:val="00875774"/>
    <w:rsid w:val="00902FA3"/>
    <w:rsid w:val="00AE674C"/>
    <w:rsid w:val="00B01CB3"/>
    <w:rsid w:val="00B047CB"/>
    <w:rsid w:val="00B43F80"/>
    <w:rsid w:val="00B7390B"/>
    <w:rsid w:val="00C36464"/>
    <w:rsid w:val="00C405E9"/>
    <w:rsid w:val="00C6648C"/>
    <w:rsid w:val="00CB375B"/>
    <w:rsid w:val="00D04046"/>
    <w:rsid w:val="00D369E5"/>
    <w:rsid w:val="00DA4286"/>
    <w:rsid w:val="00DF7A36"/>
    <w:rsid w:val="00E665D0"/>
    <w:rsid w:val="00E776EB"/>
    <w:rsid w:val="00EC6FA7"/>
    <w:rsid w:val="00ED003D"/>
    <w:rsid w:val="00F6738E"/>
    <w:rsid w:val="00F94E77"/>
    <w:rsid w:val="00F96B92"/>
    <w:rsid w:val="00FE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4FBB5"/>
  <w15:chartTrackingRefBased/>
  <w15:docId w15:val="{36D24CD4-435D-4FEC-9944-98652F950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3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224\AppData\Local\Microsoft\Windows\INetCache\Content.Outlook\AppData\Local\Microsoft\Windows\INetCache\Content.Outlook\AppData\Local\Microsoft\Windows\&#1057;&#1087;&#1088;&#1072;&#1074;&#1086;&#1095;&#1085;&#1099;&#1077;%20&#1084;&#1072;&#1090;&#1077;&#1088;&#1080;&#1072;&#1083;&#1099;\&#1044;&#1072;&#1090;&#1099;%20&#1057;&#1040;&#1047;&#1086;&#1074;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u224\AppData\Local\Microsoft\Windows\INetCache\Content.Outlook\AppData\Local\Microsoft\Windows\INetCache\Content.Outlook\AppData\Local\Microsoft\Windows\&#1057;&#1087;&#1088;&#1072;&#1074;&#1086;&#1095;&#1085;&#1099;&#1077;%20&#1084;&#1072;&#1090;&#1077;&#1088;&#1080;&#1072;&#1083;&#1099;\&#1044;&#1072;&#1090;&#1099;%20&#1057;&#1040;&#1047;&#1086;&#1074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224\AppData\Local\Microsoft\Windows\INetCache\Content.Outlook\AppData\Local\Microsoft\Windows\INetCache\Content.Outlook\AppData\Local\Microsoft\Windows\&#1057;&#1087;&#1088;&#1072;&#1074;&#1086;&#1095;&#1085;&#1099;&#1077;%20&#1084;&#1072;&#1090;&#1077;&#1088;&#1080;&#1072;&#1083;&#1099;\&#1044;&#1072;&#1090;&#1099;%20&#1057;&#1040;&#1047;&#1086;&#1074;.doc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C:\Users\u224\AppData\Local\Microsoft\Windows\INetCache\Content.Outlook\AppData\Local\Microsoft\Windows\INetCache\Content.Outlook\AppData\Local\Microsoft\Windows\&#1059;&#1082;&#1072;&#1079;&#1072;&#1085;&#1080;&#1103;\2015\N%20879-&#1059;%20&#1086;&#1090;%2023.11.2015.doc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file:///C:\Users\u224\AppData\Local\Microsoft\Windows\INetCache\Content.Outlook\AppData\Local\Microsoft\Windows\INetCache\Content.Outlook\AppData\Local\Microsoft\Windows\&#1057;&#1087;&#1088;&#1072;&#1074;&#1086;&#1095;&#1085;&#1099;&#1077;%20&#1084;&#1072;&#1090;&#1077;&#1088;&#1080;&#1072;&#1083;&#1099;\&#1044;&#1072;&#1090;&#1099;%20&#1057;&#1040;&#1047;&#1086;&#1074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624</Words>
  <Characters>3557</Characters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2025-11-18T12:03:00Z</dcterms:created>
  <dcterms:modified xsi:type="dcterms:W3CDTF">2025-11-26T12:41:00Z</dcterms:modified>
</cp:coreProperties>
</file>