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90B" w:rsidRPr="00DF7A36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10"/>
        <w:gridCol w:w="1280"/>
        <w:gridCol w:w="3965"/>
      </w:tblGrid>
      <w:tr w:rsidR="00F65544" w:rsidRPr="00DF7A36" w:rsidTr="00F65544">
        <w:trPr>
          <w:trHeight w:val="1237"/>
        </w:trPr>
        <w:tc>
          <w:tcPr>
            <w:tcW w:w="2197" w:type="pct"/>
          </w:tcPr>
          <w:p w:rsidR="00B7390B" w:rsidRPr="00DF7A36" w:rsidRDefault="00B7390B" w:rsidP="00B7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БАНКА РЕПУБЛИКАНЭ </w:t>
            </w:r>
          </w:p>
          <w:p w:rsidR="00B7390B" w:rsidRPr="00DF7A36" w:rsidRDefault="00B7390B" w:rsidP="00B7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НИСТРЯНЭ </w:t>
            </w:r>
          </w:p>
          <w:p w:rsidR="00B7390B" w:rsidRPr="00DF7A36" w:rsidRDefault="00B7390B" w:rsidP="00B7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4" w:type="pct"/>
          </w:tcPr>
          <w:p w:rsidR="00B7390B" w:rsidRPr="00DF7A36" w:rsidRDefault="00B7390B" w:rsidP="00F6554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229C61B" wp14:editId="77A1F2F7">
                  <wp:extent cx="661670" cy="700405"/>
                  <wp:effectExtent l="0" t="0" r="5080" b="4445"/>
                  <wp:docPr id="1" name="Рисунок 1" descr="герб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9" w:type="pct"/>
          </w:tcPr>
          <w:p w:rsidR="00B7390B" w:rsidRPr="00DF7A36" w:rsidRDefault="00B7390B" w:rsidP="00B7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ПРИДН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СТРОВСЬКИЙ</w:t>
            </w:r>
          </w:p>
          <w:p w:rsidR="00B7390B" w:rsidRPr="00DF7A36" w:rsidRDefault="00B7390B" w:rsidP="00B73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КАНСЬКИЙ БАНК</w:t>
            </w:r>
          </w:p>
        </w:tc>
      </w:tr>
    </w:tbl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ПРИДНЕСТРОВСКИЙ РЕСПУБЛИКАНСКИЙ </w:t>
      </w: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</w:t>
      </w: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F51CB" w:rsidRPr="00BF51CB" w:rsidRDefault="00BF51CB" w:rsidP="00BF51C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F5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</w:t>
      </w:r>
      <w:r w:rsidRPr="00BF5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Указание Приднестровского республиканского банка </w:t>
      </w:r>
      <w:r w:rsidR="00267A1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F51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 марта 2011 года № 441-У «О порядке составления и представления отчётности в Приднестровский республиканский банк» </w:t>
      </w:r>
    </w:p>
    <w:p w:rsidR="00B7390B" w:rsidRPr="00BF51CB" w:rsidRDefault="00BF51CB" w:rsidP="00BF51C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F51C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3874F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BF51C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егистрационный № 5602 от 20 апреля 2011 года) (САЗ 11-16)</w:t>
      </w: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Утверждено решением правления</w:t>
      </w: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Приднестровского республиканского банка</w:t>
      </w: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Протокол № </w:t>
      </w:r>
      <w:r w:rsidR="00CF2A2D">
        <w:rPr>
          <w:rFonts w:ascii="Times New Roman" w:eastAsia="Times New Roman" w:hAnsi="Times New Roman" w:cs="Times New Roman"/>
          <w:sz w:val="24"/>
          <w:szCs w:val="24"/>
        </w:rPr>
        <w:t>48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CF2A2D">
        <w:rPr>
          <w:rFonts w:ascii="Times New Roman" w:eastAsia="Times New Roman" w:hAnsi="Times New Roman" w:cs="Times New Roman"/>
          <w:sz w:val="24"/>
          <w:szCs w:val="24"/>
        </w:rPr>
        <w:t>18 ноября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2025 года</w:t>
      </w:r>
    </w:p>
    <w:p w:rsidR="00B7390B" w:rsidRPr="00DF7A36" w:rsidRDefault="00B7390B" w:rsidP="00B739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5544" w:rsidRPr="00341D6C" w:rsidRDefault="00F65544" w:rsidP="00F655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Министерством юстиции</w:t>
      </w:r>
    </w:p>
    <w:p w:rsidR="00F65544" w:rsidRPr="00341D6C" w:rsidRDefault="00F65544" w:rsidP="00F655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Приднестровской Молдавской Республики</w:t>
      </w:r>
      <w:r w:rsidR="00CF2A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 ноября 2025 года</w:t>
      </w:r>
    </w:p>
    <w:p w:rsidR="00B7390B" w:rsidRPr="00DF7A36" w:rsidRDefault="00F65544" w:rsidP="00F655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41D6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</w:t>
      </w:r>
      <w:r w:rsidR="00CF2A2D">
        <w:rPr>
          <w:rFonts w:ascii="Times New Roman" w:eastAsia="Times New Roman" w:hAnsi="Times New Roman" w:cs="Times New Roman"/>
          <w:sz w:val="24"/>
          <w:szCs w:val="24"/>
          <w:lang w:eastAsia="ru-RU"/>
        </w:rPr>
        <w:t>13594</w:t>
      </w:r>
    </w:p>
    <w:p w:rsidR="00B7390B" w:rsidRPr="00DF7A36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07-20), Законом Приднестровской Молдавской Республики от 1 декабря 1993 года «О банках и банковской деятельности в Приднестровской Молдавской Республике» (СЗМР 93-2).</w:t>
      </w:r>
    </w:p>
    <w:p w:rsidR="00B7390B" w:rsidRPr="00DF7A36" w:rsidRDefault="00BF51CB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Внести в Указание Приднестровского республиканского банка от 3 марта 2011 года № 441-У «О порядке составления и представления отчетности в Приднестровский республиканский банк» (регистрационный № 5602 от 20 апреля 2011 года) (САЗ 11-16) с изменениями и дополнениями, внесенными указаниями Приднестровского республиканского банка от 15 июля 2011 года № 471-У (регистрационный № 5747от 31 августа 2011 года) (САЗ 11-35)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13 октября 2011 года № 486-У (регистрационный № 5811 от 25 ноября 2011 года) (САЗ 11-47)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14 декабря 2011 года № 499-У (регистрационный № 5852 от 22 декабря 2011 года) (САЗ 11-51)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17 января 2012 года № 512-У (регистрационный № 5912 от 9 февраля 2012 года) (САЗ 12-7)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11 апреля 2012 года № 537-У (регистрационный № 6004 от 18 мая 2012 года) (САЗ 12-21)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 апреля 2012 года № 545-У (регистрационный № 6003 от 17 мая 2012 года) (САЗ 12-21)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9 ноября 2012 года № 625-У (регистрационный № 6237 от 14 декабря 2012 года) (САЗ 12-51)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9 ноября 2012 года № 627-У (регистрационный № 6220 от 11 декабря 2012 года) (САЗ 12-51)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 декабря 2012 года № 643-У (регистрационный № 6275 от 16 января 2013 года) (САЗ 13-2)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января 2013 года № 658-У (регистрационный № 6317 от 21 февраля 2013 года) (САЗ 13-7)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22 августа 2013 года № 709-У (регистрационный № 6539 от 30 августа 2013 года) (САЗ 13-34)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 ноября 2013 года № 729-У (регистрационный № 6625 от 4 декабря 2013 года) (САЗ 13-48)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 ноября 2013 года № 734-У (регистрационный № 6647 от 19 декабря 2013 года) (САЗ 13-50)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 декабря 2013 года № 752-У (регистрационный № 6697 от 5 февраля 2014 года) (САЗ 14-6)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 ноября 2014 года № 819-У (регистрационный № 6972 от 11 декабря 2014 года) (САЗ 14-50)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 июля 2015 года № 861-У (регистрационный № 7214 от 17 августа 2015 года) (САЗ 15-34)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8 декабря 2015 года № 882-У (регистрационный № 7349 от 1 февраля 2016 года) (САЗ 16-5)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25 апреля 2017 года № 982-У (регистрационный № 7820 от 28 апреля 2017 года) (САЗ 17-18)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 26 апреля 2017 года № 984-У (регистрационный № 7851 от 1 июня 2017 года) (САЗ 17-23)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 апреля 2018 года № 1067-У (регистрационный № 8255 от 24 мая 2018 года) (САЗ 18-21)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23 мая 2018 года № 1074-У (регистрационный № 8284 от 11 июня 2018 года) (САЗ 18-24)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 июня 2018 года № 1085-У (регистрационный № 8330 от 11 июля 2018 года) (САЗ 18-28)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 августа 2018 года № 1108-У (регистрационный № 8478 от 12 октября 2018 года) (САЗ 18-41)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30 августа 2019 года № 1183-У (регистрационный № 9081 от 12 сентября 2019 года) (САЗ 19-35)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15 октября 2019 года №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1196-У (регистрационный № 9175 от 22 ноября 2019 года) (САЗ 19-45)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 декабря 2019 года № 1223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 (регистрационный № 9261 от 26 декабря 2019 года) (САЗ 19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50)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 июня 2020 года № 1271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 (регистрационный № 9596 от 15 июля 2020 года) (САЗ 20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29)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22 октября 2020 года № 1299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 (регистрационный № 9815 от 16 ноября 2020 года) (САЗ 20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47)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16 декабря 2020 года № 1315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 (регистрационный № 9969 от 27 января 2021 года) (САЗ 21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4)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19 апреля 2021 года № 1338-У (регистрационный № 10271 от 1 июня 2021 года) (САЗ 21-22)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 июня 2021 года № 1354-У (регистрационный № 10358 от 25 июня 2021 года) (САЗ 21-25)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 декабря 2022 года № 1452-У (регистрационный № 11474 от 17 января 2023 года) (САЗ 23-3)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15 мая 2023 года № 1466-У (регистрационный № </w:t>
      </w:r>
      <w:r w:rsidR="00B7390B" w:rsidRPr="00DF7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11768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B7390B" w:rsidRPr="00DF7A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 июня 2023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года) (САЗ 23-24)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 августа 2023 года № 1495-У (регистрационный № 11978 от 13 сентября 2023 года) (САЗ 23-37)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 октября 2023 года № 1511-У (регистрационный № 12061 от 23 октября 2023 года) (САЗ 23-43)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21 декабря 2023 года № 1524-У (регистрационный № 12209 от 28 декабря 2023 года) (САЗ 24-1)</w:t>
      </w:r>
      <w:r w:rsidR="0045433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29 марта 2024 года № 1536-У (регистрационный № 12398 от 15 апреля 2024 года) (САЗ 24-17), следующее изменение:</w:t>
      </w:r>
    </w:p>
    <w:p w:rsidR="00B7390B" w:rsidRPr="00DF7A36" w:rsidRDefault="00D369E5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</w:t>
      </w:r>
      <w:r w:rsidR="001006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строку 82 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</w:t>
      </w:r>
      <w:r w:rsidR="001006E1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Приложения к Указанию</w:t>
      </w:r>
      <w:r w:rsidR="001F1A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06E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изложить в следующей редакции:</w:t>
      </w:r>
    </w:p>
    <w:p w:rsidR="00B7390B" w:rsidRPr="00DF7A36" w:rsidRDefault="00B7390B" w:rsidP="001F1A1D">
      <w:pPr>
        <w:autoSpaceDE w:val="0"/>
        <w:autoSpaceDN w:val="0"/>
        <w:adjustRightInd w:val="0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</w:p>
    <w:tbl>
      <w:tblPr>
        <w:tblW w:w="4856" w:type="pct"/>
        <w:tblInd w:w="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3"/>
        <w:gridCol w:w="817"/>
        <w:gridCol w:w="2447"/>
        <w:gridCol w:w="4999"/>
      </w:tblGrid>
      <w:tr w:rsidR="00B7390B" w:rsidRPr="00DF7A36" w:rsidTr="00F65544">
        <w:tc>
          <w:tcPr>
            <w:tcW w:w="448" w:type="pct"/>
            <w:shd w:val="clear" w:color="auto" w:fill="auto"/>
          </w:tcPr>
          <w:p w:rsidR="00B7390B" w:rsidRPr="00DF7A36" w:rsidRDefault="00B7390B" w:rsidP="00B7390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82.</w:t>
            </w:r>
          </w:p>
        </w:tc>
        <w:tc>
          <w:tcPr>
            <w:tcW w:w="450" w:type="pct"/>
            <w:shd w:val="clear" w:color="auto" w:fill="auto"/>
          </w:tcPr>
          <w:p w:rsidR="00B7390B" w:rsidRPr="00DF7A36" w:rsidRDefault="00B7390B" w:rsidP="00B7390B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0082x</w:t>
            </w:r>
          </w:p>
        </w:tc>
        <w:tc>
          <w:tcPr>
            <w:tcW w:w="1348" w:type="pct"/>
            <w:tcBorders>
              <w:bottom w:val="single" w:sz="4" w:space="0" w:color="auto"/>
            </w:tcBorders>
            <w:shd w:val="clear" w:color="auto" w:fill="auto"/>
          </w:tcPr>
          <w:p w:rsidR="00B7390B" w:rsidRPr="00DF7A36" w:rsidRDefault="00B7390B" w:rsidP="00B7390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«Сведения о кредитах, займах</w:t>
            </w:r>
            <w:r w:rsidRPr="00DF7A36">
              <w:rPr>
                <w:rFonts w:ascii="Times New Roman" w:eastAsia="Times New Roman" w:hAnsi="Times New Roman" w:cs="Times New Roman"/>
                <w:color w:val="2E74B5"/>
                <w:sz w:val="24"/>
                <w:szCs w:val="24"/>
                <w:lang w:eastAsia="ru-RU"/>
              </w:rPr>
              <w:t xml:space="preserve"> 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размещениях, переведенных на беспроцентный статус»</w:t>
            </w:r>
          </w:p>
        </w:tc>
        <w:tc>
          <w:tcPr>
            <w:tcW w:w="275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7390B" w:rsidRPr="00DF7A36" w:rsidRDefault="00B7390B" w:rsidP="00AE6E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 Приднестровского республиканского банка от 2 июля 2008 года № 25-И «О порядке представления кредитными организациями отдельных форм отчетности в Приднестровский республиканский банк»</w:t>
            </w:r>
            <w:r w:rsidR="00AE6E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егистрационный № 4548 от 19 августа 2008 года) (САЗ 08-33)</w:t>
            </w:r>
          </w:p>
        </w:tc>
      </w:tr>
    </w:tbl>
    <w:p w:rsidR="00B7390B" w:rsidRPr="00DF7A36" w:rsidRDefault="00D369E5" w:rsidP="00B7390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1F1A1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390B" w:rsidRPr="00DF7A36" w:rsidRDefault="00BF51CB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Указание вступает в силу с 1 декабря 2025 года.</w:t>
      </w:r>
    </w:p>
    <w:p w:rsidR="00B7390B" w:rsidRPr="00DF7A36" w:rsidRDefault="00B7390B" w:rsidP="00B7390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7390B" w:rsidRPr="00DF7A36" w:rsidRDefault="00B7390B" w:rsidP="00B7390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</w:t>
      </w:r>
      <w:r w:rsidR="00F65544">
        <w:rPr>
          <w:rFonts w:ascii="Times New Roman" w:eastAsia="Times New Roman" w:hAnsi="Times New Roman" w:cs="Times New Roman"/>
          <w:sz w:val="24"/>
          <w:szCs w:val="24"/>
        </w:rPr>
        <w:t xml:space="preserve">едседатель                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</w:t>
      </w:r>
      <w:r w:rsidR="001F1A1D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В. ТИДВА</w:t>
      </w:r>
    </w:p>
    <w:p w:rsidR="001F1A1D" w:rsidRPr="00DF7A36" w:rsidRDefault="001F1A1D" w:rsidP="00B73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7390B" w:rsidRPr="00DF7A36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   г. Тирасполь</w:t>
      </w:r>
    </w:p>
    <w:p w:rsidR="00B7390B" w:rsidRPr="00DF7A36" w:rsidRDefault="00CF2A2D" w:rsidP="00B73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18 ноября</w:t>
      </w:r>
      <w:r w:rsidR="00B7390B" w:rsidRPr="00DF7A36">
        <w:rPr>
          <w:rFonts w:ascii="Times New Roman" w:eastAsia="Times New Roman" w:hAnsi="Times New Roman" w:cs="Times New Roman"/>
          <w:sz w:val="24"/>
          <w:szCs w:val="24"/>
        </w:rPr>
        <w:t xml:space="preserve"> 2025 г.</w:t>
      </w:r>
    </w:p>
    <w:p w:rsidR="00B7390B" w:rsidRPr="00DF7A36" w:rsidRDefault="00CF2A2D" w:rsidP="00B7390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№ 1644-У</w:t>
      </w:r>
      <w:bookmarkStart w:id="0" w:name="_GoBack"/>
      <w:bookmarkEnd w:id="0"/>
    </w:p>
    <w:p w:rsidR="00B7390B" w:rsidRPr="00DF7A36" w:rsidRDefault="00B7390B" w:rsidP="00B7390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B7390B" w:rsidRPr="00DF7A36" w:rsidSect="00F65544">
      <w:pgSz w:w="11907" w:h="16840"/>
      <w:pgMar w:top="1134" w:right="851" w:bottom="1134" w:left="1701" w:header="720" w:footer="720" w:gutter="0"/>
      <w:paperSrc w:first="15" w:other="15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90B"/>
    <w:rsid w:val="0006191E"/>
    <w:rsid w:val="001006E1"/>
    <w:rsid w:val="001756EE"/>
    <w:rsid w:val="00187DDB"/>
    <w:rsid w:val="001F1A1D"/>
    <w:rsid w:val="00267A14"/>
    <w:rsid w:val="003874F1"/>
    <w:rsid w:val="003C0251"/>
    <w:rsid w:val="0045433E"/>
    <w:rsid w:val="00524C17"/>
    <w:rsid w:val="005D44CF"/>
    <w:rsid w:val="006D2E79"/>
    <w:rsid w:val="00724517"/>
    <w:rsid w:val="007D3E2C"/>
    <w:rsid w:val="00815EC9"/>
    <w:rsid w:val="00875774"/>
    <w:rsid w:val="00902FA3"/>
    <w:rsid w:val="00AE6EBD"/>
    <w:rsid w:val="00B047CB"/>
    <w:rsid w:val="00B43F80"/>
    <w:rsid w:val="00B7390B"/>
    <w:rsid w:val="00BF51CB"/>
    <w:rsid w:val="00C36464"/>
    <w:rsid w:val="00C405E9"/>
    <w:rsid w:val="00C6648C"/>
    <w:rsid w:val="00CB375B"/>
    <w:rsid w:val="00CF2A2D"/>
    <w:rsid w:val="00D04046"/>
    <w:rsid w:val="00D369E5"/>
    <w:rsid w:val="00DF7A36"/>
    <w:rsid w:val="00E665D0"/>
    <w:rsid w:val="00E776EB"/>
    <w:rsid w:val="00EC6FA7"/>
    <w:rsid w:val="00ED003D"/>
    <w:rsid w:val="00F65544"/>
    <w:rsid w:val="00F96B92"/>
    <w:rsid w:val="00FE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781E5"/>
  <w15:chartTrackingRefBased/>
  <w15:docId w15:val="{36D24CD4-435D-4FEC-9944-98652F95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698</Words>
  <Characters>4712</Characters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2025-10-31T10:06:00Z</dcterms:created>
  <dcterms:modified xsi:type="dcterms:W3CDTF">2025-11-28T14:33:00Z</dcterms:modified>
</cp:coreProperties>
</file>